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3" w:rsidRPr="00E743C3" w:rsidRDefault="00E743C3" w:rsidP="00E743C3">
      <w:pPr>
        <w:spacing w:after="160" w:line="259" w:lineRule="auto"/>
        <w:rPr>
          <w:rFonts w:ascii="Calibri" w:eastAsia="Calibri" w:hAnsi="Calibri" w:cs="Times New Roman"/>
          <w:color w:val="00B0F0"/>
          <w:sz w:val="48"/>
          <w:szCs w:val="48"/>
        </w:rPr>
      </w:pPr>
      <w:r w:rsidRPr="00E743C3">
        <w:rPr>
          <w:rFonts w:ascii="Calibri" w:eastAsia="Calibri" w:hAnsi="Calibri" w:cs="Times New Roman"/>
          <w:color w:val="00B0F0"/>
          <w:sz w:val="48"/>
          <w:szCs w:val="48"/>
        </w:rPr>
        <w:t xml:space="preserve">«Значение </w:t>
      </w:r>
      <w:r w:rsidRPr="00E743C3">
        <w:rPr>
          <w:rFonts w:ascii="Calibri" w:eastAsia="Calibri" w:hAnsi="Calibri" w:cs="Times New Roman"/>
          <w:color w:val="FF0000"/>
          <w:sz w:val="48"/>
          <w:szCs w:val="48"/>
        </w:rPr>
        <w:t>L</w:t>
      </w:r>
      <w:r w:rsidRPr="00E743C3">
        <w:rPr>
          <w:rFonts w:ascii="Calibri" w:eastAsia="Calibri" w:hAnsi="Calibri" w:cs="Times New Roman"/>
          <w:color w:val="FFC000"/>
          <w:sz w:val="48"/>
          <w:szCs w:val="48"/>
        </w:rPr>
        <w:t>E</w:t>
      </w:r>
      <w:r w:rsidRPr="00E743C3">
        <w:rPr>
          <w:rFonts w:ascii="Calibri" w:eastAsia="Calibri" w:hAnsi="Calibri" w:cs="Times New Roman"/>
          <w:color w:val="00B050"/>
          <w:sz w:val="48"/>
          <w:szCs w:val="48"/>
        </w:rPr>
        <w:t>G</w:t>
      </w:r>
      <w:r w:rsidRPr="00E743C3">
        <w:rPr>
          <w:rFonts w:ascii="Calibri" w:eastAsia="Calibri" w:hAnsi="Calibri" w:cs="Times New Roman"/>
          <w:color w:val="7030A0"/>
          <w:sz w:val="48"/>
          <w:szCs w:val="48"/>
        </w:rPr>
        <w:t>O</w:t>
      </w:r>
      <w:r w:rsidRPr="00E743C3">
        <w:rPr>
          <w:rFonts w:ascii="Calibri" w:eastAsia="Calibri" w:hAnsi="Calibri" w:cs="Times New Roman"/>
          <w:color w:val="00B0F0"/>
          <w:sz w:val="48"/>
          <w:szCs w:val="48"/>
        </w:rPr>
        <w:t>-конструирования в развитии детей дошкольного возраста»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«ЛЕГО» – УМНАЯ ИГРА,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ЗАВЛЕКАТЕЛЬНА, ХИТРА.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ИНТЕРЕСНО ЗДЕСЬ ИГРАТЬ,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СТРОИТЬ, СОСТАВЛЯТЬ, ИСКАТЬ!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ПРИГЛАШАЮ ВСЕХ ДРУЗЕЙ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«ЛЕГО» СОБИРАТЬ СКОРЕЙ.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ТАМ И ВЗРОСЛЫМ ИНТЕРЕСНО:</w:t>
      </w:r>
    </w:p>
    <w:p w:rsidR="00E743C3" w:rsidRPr="00E743C3" w:rsidRDefault="00E743C3" w:rsidP="00E743C3">
      <w:pPr>
        <w:spacing w:after="160" w:line="259" w:lineRule="auto"/>
        <w:jc w:val="center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>В «ЛЕГО» ПОИГРАТЬ ПОЛЕЗНО!</w:t>
      </w:r>
    </w:p>
    <w:p w:rsidR="00E743C3" w:rsidRPr="00E743C3" w:rsidRDefault="00E743C3" w:rsidP="00E743C3">
      <w:pPr>
        <w:spacing w:after="160" w:line="259" w:lineRule="auto"/>
        <w:rPr>
          <w:rFonts w:ascii="Arial" w:eastAsia="Calibri" w:hAnsi="Arial" w:cs="Arial"/>
          <w:color w:val="002060"/>
          <w:sz w:val="20"/>
          <w:szCs w:val="20"/>
        </w:rPr>
      </w:pPr>
      <w:r w:rsidRPr="00E743C3">
        <w:rPr>
          <w:rFonts w:ascii="Arial" w:eastAsia="Calibri" w:hAnsi="Arial" w:cs="Arial"/>
          <w:color w:val="002060"/>
          <w:sz w:val="20"/>
          <w:szCs w:val="20"/>
        </w:rPr>
        <w:tab/>
      </w:r>
      <w:r w:rsidRPr="00E743C3">
        <w:rPr>
          <w:rFonts w:ascii="Arial" w:eastAsia="Calibri" w:hAnsi="Arial" w:cs="Arial"/>
          <w:color w:val="002060"/>
          <w:sz w:val="20"/>
          <w:szCs w:val="20"/>
        </w:rPr>
        <w:tab/>
      </w:r>
      <w:r w:rsidRPr="00E743C3">
        <w:rPr>
          <w:rFonts w:ascii="Arial" w:eastAsia="Calibri" w:hAnsi="Arial" w:cs="Arial"/>
          <w:color w:val="002060"/>
          <w:sz w:val="20"/>
          <w:szCs w:val="20"/>
        </w:rPr>
        <w:tab/>
      </w:r>
      <w:r w:rsidRPr="00E743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3FEFD5" wp14:editId="01E0AF00">
            <wp:extent cx="3286125" cy="1609725"/>
            <wp:effectExtent l="0" t="0" r="9525" b="9525"/>
            <wp:docPr id="1" name="Рисунок 1" descr="http://ds14-oliapka.ru/rus/images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oliapka.ru/rus/images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68" cy="16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C3">
        <w:rPr>
          <w:rFonts w:ascii="Arial" w:eastAsia="Calibri" w:hAnsi="Arial" w:cs="Arial"/>
          <w:color w:val="002060"/>
          <w:sz w:val="20"/>
          <w:szCs w:val="20"/>
        </w:rPr>
        <w:tab/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 детей к современной технике.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Благодаря разработкам компании LEGO на современном этапе появилась возможность уже в дошкольном возрасте знакомить детей с основами строения технических объектов.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От рождения детям присуще стремление исследовать окружающий их мир.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В настоящее время в нашем дошкольном учреждении широко применяется учебные пособия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.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 xml:space="preserve">(в переводе с </w:t>
      </w:r>
      <w:proofErr w:type="gramStart"/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датского</w:t>
      </w:r>
      <w:proofErr w:type="gramEnd"/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)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 – означает увлекательная среда. Наборы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 имеют детали различных форм и размеров, что позволяет с легкостью их дифференцировать и создавать тематические композиции, развивать зрительное восприятие. С помощью игры с конструктором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 дети не только учатся, но и расслабляются.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lastRenderedPageBreak/>
        <w:t>Использование пособий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 xml:space="preserve"> - это новый тип обучения с чрезвычайно эффективными социализирующими методами воздействия: как правило, дети работают в группе 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(обсуждается и учитывается мнение каждого ребенка)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Как известно, применение </w:t>
      </w:r>
      <w:r w:rsidRPr="00E743C3">
        <w:rPr>
          <w:rFonts w:ascii="Arial" w:eastAsia="Times New Roman" w:hAnsi="Arial" w:cs="Arial"/>
          <w:i/>
          <w:iCs/>
          <w:color w:val="1F4E79"/>
          <w:sz w:val="27"/>
          <w:szCs w:val="27"/>
          <w:lang w:eastAsia="ru-RU"/>
        </w:rPr>
        <w:t>«LEGO»</w:t>
      </w: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 способствует: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1. Развитию у детей сенсорных представлений, поскольку используются детали разной формы, окрашенные в основные цвета;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2. Развитию и совершенствованию высших психических функций (памяти, внимания, мышления, делается упор на развитие таких мыслительных процессов, как анализ, синтез, классификация, обобщение);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3. Тренировки пальцев кистей рук, что очень важно для развития мелкой моторики и в дальнейшем поможет подготовить руку ребенка к письму;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 конструктивного решения.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5. Конструктивная деятельность очень тесно связана с 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E743C3" w:rsidRPr="00E743C3" w:rsidRDefault="00E743C3" w:rsidP="00E743C3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1F4E79"/>
          <w:sz w:val="27"/>
          <w:szCs w:val="27"/>
          <w:lang w:eastAsia="ru-RU"/>
        </w:rPr>
      </w:pPr>
      <w:r w:rsidRPr="00E743C3">
        <w:rPr>
          <w:rFonts w:ascii="Arial" w:eastAsia="Times New Roman" w:hAnsi="Arial" w:cs="Arial"/>
          <w:color w:val="1F4E79"/>
          <w:sz w:val="27"/>
          <w:szCs w:val="27"/>
          <w:lang w:eastAsia="ru-RU"/>
        </w:rPr>
        <w:t>Развитие способностей к конструированию 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 развитию одарённости.</w:t>
      </w:r>
    </w:p>
    <w:p w:rsidR="002003F9" w:rsidRDefault="002003F9">
      <w:bookmarkStart w:id="0" w:name="_GoBack"/>
      <w:bookmarkEnd w:id="0"/>
    </w:p>
    <w:sectPr w:rsidR="0020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B7"/>
    <w:rsid w:val="002003F9"/>
    <w:rsid w:val="00DE6AB7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2017-12-01T05:58:00Z</dcterms:created>
  <dcterms:modified xsi:type="dcterms:W3CDTF">2017-12-01T05:58:00Z</dcterms:modified>
</cp:coreProperties>
</file>